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0" w:lineRule="atLeast"/>
        <w:jc w:val="center"/>
        <w:rPr>
          <w:rFonts w:ascii="方正小标宋简体" w:eastAsia="方正小标宋简体" w:hAnsiTheme="minorEastAsia" w:cstheme="minorEastAsia"/>
        </w:rPr>
      </w:pPr>
      <w:r>
        <w:rPr>
          <w:rFonts w:hint="eastAsia" w:ascii="方正小标宋简体" w:eastAsia="方正小标宋简体" w:hAnsiTheme="minorEastAsia" w:cstheme="minorEastAsia"/>
        </w:rPr>
        <w:t xml:space="preserve"> </w:t>
      </w:r>
      <w:r>
        <w:rPr>
          <w:rFonts w:ascii="方正小标宋简体" w:eastAsia="方正小标宋简体" w:hAnsiTheme="minorEastAsia" w:cstheme="minorEastAsia"/>
        </w:rPr>
        <w:drawing>
          <wp:inline distT="0" distB="0" distL="0" distR="0">
            <wp:extent cx="2809875" cy="1367790"/>
            <wp:effectExtent l="0" t="0" r="0" b="3810"/>
            <wp:docPr id="3" name="图片 3" descr="C:\Users\liuning\AppData\Local\Temp\16183087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iuning\AppData\Local\Temp\161830871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26630" cy="1376563"/>
                    </a:xfrm>
                    <a:prstGeom prst="rect">
                      <a:avLst/>
                    </a:prstGeom>
                    <a:noFill/>
                    <a:ln>
                      <a:noFill/>
                    </a:ln>
                  </pic:spPr>
                </pic:pic>
              </a:graphicData>
            </a:graphic>
          </wp:inline>
        </w:drawing>
      </w:r>
    </w:p>
    <w:p/>
    <w:p>
      <w:pPr>
        <w:ind w:firstLine="1440" w:firstLineChars="300"/>
        <w:jc w:val="both"/>
        <w:rPr>
          <w:rFonts w:hint="eastAsia" w:ascii="方正小标宋简体" w:eastAsia="方正小标宋简体"/>
          <w:sz w:val="48"/>
        </w:rPr>
      </w:pPr>
      <w:r>
        <w:rPr>
          <w:rFonts w:hint="eastAsia" w:ascii="方正小标宋简体" w:eastAsia="方正小标宋简体"/>
          <w:sz w:val="48"/>
        </w:rPr>
        <w:t>中华人民共和国人与生物圈</w:t>
      </w:r>
    </w:p>
    <w:p>
      <w:pPr>
        <w:jc w:val="center"/>
        <w:rPr>
          <w:rFonts w:hint="eastAsia" w:ascii="方正小标宋简体" w:eastAsia="方正小标宋简体"/>
          <w:sz w:val="48"/>
        </w:rPr>
      </w:pPr>
      <w:r>
        <w:rPr>
          <w:rFonts w:hint="eastAsia" w:ascii="方正小标宋简体" w:eastAsia="方正小标宋简体"/>
          <w:sz w:val="48"/>
        </w:rPr>
        <w:t>国家委员会章程</w:t>
      </w:r>
    </w:p>
    <w:p>
      <w:pPr>
        <w:jc w:val="center"/>
        <w:rPr>
          <w:rFonts w:ascii="方正小标宋简体" w:eastAsia="方正小标宋简体"/>
          <w:sz w:val="4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both"/>
        <w:rPr>
          <w:sz w:val="28"/>
        </w:rPr>
      </w:pPr>
    </w:p>
    <w:p>
      <w:pPr>
        <w:jc w:val="both"/>
        <w:rPr>
          <w:sz w:val="28"/>
        </w:rPr>
      </w:pPr>
    </w:p>
    <w:p>
      <w:pPr>
        <w:jc w:val="center"/>
        <w:rPr>
          <w:rFonts w:hint="eastAsia" w:ascii="方正小标宋简体" w:hAnsi="等线" w:eastAsia="方正小标宋简体" w:cs="等线"/>
          <w:kern w:val="0"/>
          <w:sz w:val="32"/>
          <w:szCs w:val="32"/>
          <w:lang w:val="en-US" w:eastAsia="zh-CN" w:bidi="ar-SA"/>
        </w:rPr>
      </w:pPr>
      <w:r>
        <w:rPr>
          <w:rFonts w:hint="eastAsia" w:ascii="方正小标宋简体" w:hAnsi="等线" w:eastAsia="方正小标宋简体" w:cs="等线"/>
          <w:kern w:val="0"/>
          <w:sz w:val="32"/>
          <w:szCs w:val="32"/>
          <w:lang w:val="en-US" w:eastAsia="zh-CN" w:bidi="ar-SA"/>
        </w:rPr>
        <w:t xml:space="preserve"> 中国人与生物圈国家委员会</w:t>
      </w:r>
    </w:p>
    <w:p>
      <w:pPr>
        <w:jc w:val="center"/>
        <w:rPr>
          <w:sz w:val="24"/>
        </w:rPr>
        <w:sectPr>
          <w:headerReference r:id="rId3" w:type="default"/>
          <w:pgSz w:w="11906" w:h="16838"/>
          <w:pgMar w:top="1440" w:right="1800" w:bottom="1440" w:left="1800" w:header="851" w:footer="992" w:gutter="0"/>
          <w:cols w:space="425" w:num="1"/>
          <w:docGrid w:type="lines" w:linePitch="312" w:charSpace="0"/>
        </w:sectPr>
      </w:pPr>
      <w:r>
        <w:rPr>
          <w:rFonts w:hint="eastAsia" w:ascii="方正小标宋简体" w:eastAsia="方正小标宋简体"/>
          <w:sz w:val="32"/>
        </w:rPr>
        <w:t xml:space="preserve">  2021年4月15日</w:t>
      </w:r>
    </w:p>
    <w:p>
      <w:pPr>
        <w:pStyle w:val="12"/>
        <w:widowControl/>
        <w:snapToGrid w:val="0"/>
        <w:spacing w:before="100" w:after="100"/>
        <w:jc w:val="both"/>
        <w:rPr>
          <w:rFonts w:ascii="方正小标宋简体" w:hAnsi="等线" w:eastAsia="方正小标宋简体" w:cs="等线"/>
          <w:sz w:val="32"/>
          <w:szCs w:val="32"/>
        </w:rPr>
      </w:pPr>
    </w:p>
    <w:p>
      <w:pPr>
        <w:pStyle w:val="12"/>
        <w:widowControl/>
        <w:snapToGrid w:val="0"/>
        <w:spacing w:before="100" w:after="100"/>
        <w:jc w:val="center"/>
        <w:rPr>
          <w:rFonts w:ascii="方正小标宋简体" w:hAnsi="等线" w:eastAsia="方正小标宋简体" w:cs="等线"/>
          <w:sz w:val="32"/>
          <w:szCs w:val="32"/>
        </w:rPr>
      </w:pPr>
      <w:r>
        <w:rPr>
          <w:rFonts w:hint="eastAsia" w:ascii="方正小标宋简体" w:hAnsi="等线" w:eastAsia="方正小标宋简体" w:cs="等线"/>
          <w:sz w:val="32"/>
          <w:szCs w:val="32"/>
        </w:rPr>
        <w:t>中华人民共和国人与生物圈国家委员会章程</w:t>
      </w:r>
    </w:p>
    <w:p>
      <w:pPr>
        <w:spacing w:before="156" w:beforeLines="50" w:after="156" w:afterLines="50" w:line="360" w:lineRule="auto"/>
        <w:ind w:firstLine="470" w:firstLineChars="196"/>
        <w:jc w:val="center"/>
        <w:rPr>
          <w:rFonts w:ascii="Times New Roman" w:hAnsi="Times New Roman"/>
          <w:color w:val="000000"/>
          <w:sz w:val="24"/>
        </w:rPr>
      </w:pPr>
    </w:p>
    <w:p>
      <w:pPr>
        <w:spacing w:before="156" w:beforeLines="50" w:after="156" w:afterLines="50" w:line="360" w:lineRule="auto"/>
        <w:jc w:val="center"/>
        <w:rPr>
          <w:rFonts w:ascii="宋体" w:hAnsi="宋体" w:eastAsia="宋体" w:cs="宋体"/>
          <w:b/>
          <w:color w:val="000000"/>
          <w:sz w:val="24"/>
        </w:rPr>
      </w:pPr>
      <w:r>
        <w:rPr>
          <w:rFonts w:hint="eastAsia" w:ascii="宋体" w:hAnsi="宋体" w:eastAsia="宋体" w:cs="宋体"/>
          <w:b/>
          <w:color w:val="000000"/>
          <w:sz w:val="24"/>
        </w:rPr>
        <w:t>总  则</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第一条 中华人民共和国人与生物圈国家委员会（National Committee for UNESCO’ s Man and the Biosphere Programme, Peoples’ Republic of China，以下简称本委员会）是</w:t>
      </w:r>
      <w:bookmarkStart w:id="0" w:name="OLE_LINK1"/>
      <w:bookmarkStart w:id="1" w:name="OLE_LINK2"/>
      <w:r>
        <w:rPr>
          <w:rFonts w:hint="eastAsia" w:ascii="宋体" w:hAnsi="宋体" w:eastAsia="宋体" w:cs="宋体"/>
          <w:color w:val="000000"/>
          <w:sz w:val="24"/>
        </w:rPr>
        <w:t>中国为实施联合国教科文组织“人与生物圈计划”</w:t>
      </w:r>
      <w:r>
        <w:rPr>
          <w:rFonts w:hint="eastAsia" w:ascii="宋体" w:hAnsi="宋体" w:eastAsia="宋体" w:cs="宋体"/>
          <w:sz w:val="24"/>
        </w:rPr>
        <w:t>（Man and the Biosphere Programme，简称MAB）而设立的协调机构</w:t>
      </w:r>
      <w:bookmarkEnd w:id="0"/>
      <w:bookmarkEnd w:id="1"/>
      <w:r>
        <w:rPr>
          <w:rFonts w:hint="eastAsia" w:ascii="宋体" w:hAnsi="宋体" w:eastAsia="宋体" w:cs="宋体"/>
          <w:sz w:val="24"/>
        </w:rPr>
        <w:t>，经</w:t>
      </w:r>
      <w:r>
        <w:rPr>
          <w:rFonts w:hint="eastAsia" w:ascii="宋体" w:hAnsi="宋体" w:eastAsia="宋体" w:cs="宋体"/>
          <w:color w:val="000000"/>
          <w:sz w:val="24"/>
        </w:rPr>
        <w:t>国务院批准于1978年成立。</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第二条 本委员会在“人与生物圈计划”框架与中国自然保护地管理相关法规指导下，组织中国自然保护地相关部门、科研工作者及社会各界力量，积极开展生物多样性和文化多样性的保护与可持续发展的研究与实践，提高中国自然保护地管理水平，改进生态系统管理，推进中国特色的生态文明建设，促进人与自然的和谐共生，建设万物和谐的美丽中国和美丽世界。</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第三条 本委员会的办公地址是北京市西城区三里河路52号。</w:t>
      </w:r>
    </w:p>
    <w:p>
      <w:pPr>
        <w:spacing w:before="156" w:beforeLines="50" w:after="156" w:afterLines="50" w:line="360" w:lineRule="auto"/>
        <w:rPr>
          <w:rFonts w:ascii="宋体" w:hAnsi="宋体" w:eastAsia="宋体" w:cs="宋体"/>
          <w:b/>
          <w:color w:val="000000"/>
          <w:sz w:val="24"/>
        </w:rPr>
      </w:pP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第一章 主要任务</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第四条 本委员会的主要任务包括：</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（一）在中国组织实施联合国教科文组织“人与生物圈计划”及相关的MAB战略规划和全球行动计划。 </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（二） 推动并帮助中国的自然保护地加入联合国教科文组织世界生物圈保护区网络并按照联合国教科文组织相关章程要求定期开展评估。</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（三）协调参与“人与生物圈计划”、区域生物圈保护区网络活动及其他相关国际合作；向联合国教科文组织“人与生物圈计划”秘书处提交相关的工作报告、战略建议等。</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（四）组建专家咨询委员会，促进科研院所</w:t>
      </w:r>
      <w:r>
        <w:rPr>
          <w:rFonts w:hint="eastAsia" w:ascii="宋体" w:hAnsi="宋体" w:eastAsia="宋体" w:cs="宋体"/>
          <w:sz w:val="24"/>
        </w:rPr>
        <w:t>和高校</w:t>
      </w:r>
      <w:r>
        <w:rPr>
          <w:rFonts w:hint="eastAsia" w:ascii="宋体" w:hAnsi="宋体" w:eastAsia="宋体" w:cs="宋体"/>
          <w:color w:val="000000"/>
          <w:sz w:val="24"/>
        </w:rPr>
        <w:t>与自然保护地的合作；为中国有效参与MAB国际协调理事会和各种MAB区域或合作平台提供支撑，为MAB国际秘书处和生物圈保护区专家咨询委员会培养中国后备人才。</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（五）组织专家在中国生物多样性保护、文化多样性保护、可持续发展等领域开展专题或综合研究，总结“人与生物圈计划”在执行过程中取得的进展，向中国自然保护地相关管理部门提出政策建议。</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（六）加强环境教育和科普宣传，出版《人与生物圈》杂志，宣传与分享中国MAB工作的经验、实践与探索。</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（七）管理中国生物圈保护区网络（Chinese Biosphere Reserves Network，简称CBRN），通过会议、培训等形式，促进网络成员之间交流及分享管理经验，促进其管理水平的提高，为其搭建国际交流与合作平台。</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（八）争取社会资源，鼓励社会机构</w:t>
      </w:r>
      <w:r>
        <w:rPr>
          <w:rFonts w:hint="eastAsia" w:ascii="宋体" w:hAnsi="宋体" w:eastAsia="宋体" w:cs="宋体"/>
          <w:sz w:val="24"/>
        </w:rPr>
        <w:t>和</w:t>
      </w:r>
      <w:r>
        <w:rPr>
          <w:rFonts w:hint="eastAsia" w:ascii="宋体" w:hAnsi="宋体" w:eastAsia="宋体" w:cs="宋体"/>
          <w:color w:val="000000"/>
          <w:sz w:val="24"/>
        </w:rPr>
        <w:t>热心社会公益的企业积极参与中国MAB活动，建立和发展战略合作关系。</w:t>
      </w:r>
    </w:p>
    <w:p>
      <w:pPr>
        <w:spacing w:before="156" w:beforeLines="50" w:after="156" w:afterLines="50" w:line="360" w:lineRule="auto"/>
        <w:jc w:val="center"/>
        <w:rPr>
          <w:rFonts w:ascii="宋体" w:hAnsi="宋体" w:eastAsia="宋体" w:cs="宋体"/>
          <w:b/>
          <w:color w:val="000000"/>
          <w:sz w:val="24"/>
        </w:rPr>
      </w:pPr>
      <w:r>
        <w:rPr>
          <w:rFonts w:hint="eastAsia" w:ascii="宋体" w:hAnsi="宋体" w:eastAsia="宋体" w:cs="宋体"/>
          <w:b/>
          <w:color w:val="000000"/>
          <w:sz w:val="24"/>
        </w:rPr>
        <w:t>第二章：组织架构</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第五条：本委员会的最高权力机构是部际联席会，其职权如下：</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(一) 制定和修改章程;</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(二) 决定本委员会方针、任务;</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(三) 审议和批准本委员会主席年度工作报告;</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(四) 决定其他重大事宜。</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第六条 部际联席会由主席、副主席和委员组成。主席由中国科学院现任主管副院长担任；副主席由教育部（中国联合国教科文组织全国委员会）、生态环境部、农业农村部和国家林业和草原局等国家相关主管部门现任主管领导担任；委员由与本委员会业务联系紧密的部委或省级人民政府推荐一名现任司局级领导担任。</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第七条 部际联席会每届任期5年，每年召开一次。须有三分之二以上成员出席方能召开，其决议须经到会成员半数以上表决通过方能生效。</w:t>
      </w:r>
      <w:r>
        <w:rPr>
          <w:rStyle w:val="21"/>
          <w:rFonts w:hint="eastAsia" w:ascii="宋体" w:hAnsi="宋体" w:eastAsia="宋体" w:cs="宋体"/>
          <w:color w:val="000000"/>
          <w:sz w:val="24"/>
        </w:rPr>
        <w:t>如有需要，经主席或副主席提议，可以召开临时会议。</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第八条 本委员会设立部际工作小组办公室，成员由部际联席会相关部门处级负责人组成，负责协调落实部际联席会议定事项。</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第九条 本委员会设立专家咨询委员会，成员由各领域中长期支持中国MAB工作的专家组成。专家咨询委员会主席由中国MAB委员会主席聘任，委员由专家咨询委员会主席聘任，每届任期五年，可连任一届。</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第十条 本委员会设秘书长一名，副秘书长若干名。秘书长和</w:t>
      </w:r>
      <w:r>
        <w:rPr>
          <w:rFonts w:ascii="宋体" w:hAnsi="宋体" w:eastAsia="宋体" w:cs="宋体"/>
          <w:color w:val="000000"/>
          <w:sz w:val="24"/>
        </w:rPr>
        <w:t>副秘书长</w:t>
      </w:r>
      <w:r>
        <w:rPr>
          <w:rFonts w:hint="eastAsia" w:ascii="宋体" w:hAnsi="宋体" w:eastAsia="宋体" w:cs="宋体"/>
          <w:color w:val="000000"/>
          <w:sz w:val="24"/>
        </w:rPr>
        <w:t>由主席提名，经部际联席会通过，秘书长</w:t>
      </w:r>
      <w:r>
        <w:rPr>
          <w:rFonts w:ascii="宋体" w:hAnsi="宋体" w:eastAsia="宋体" w:cs="宋体"/>
          <w:color w:val="000000"/>
          <w:sz w:val="24"/>
        </w:rPr>
        <w:t>全面</w:t>
      </w:r>
      <w:r>
        <w:rPr>
          <w:rFonts w:hint="eastAsia" w:ascii="宋体" w:hAnsi="宋体" w:eastAsia="宋体" w:cs="宋体"/>
          <w:color w:val="000000"/>
          <w:sz w:val="24"/>
        </w:rPr>
        <w:t>主持秘书处工作。</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第十一条 秘书长职权如下：</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(一) 主持秘书处日常工作，组织实施工作规划和计划;</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(二) 兼任部际工作小组办公室主任，协调本委员会各成员机构开展工作;</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(三) 负责与专家咨询委员会的工作联系和对接；</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(四) 决定内设机构工作人员的聘用;</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(五) 处理其他日常事务。</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第十二条 秘书处是本委员会的日常办公机构，设在中国科学院。在秘书长领导下负责本委员会日常工作，包括《人与生物圈》杂志出版工作。</w:t>
      </w:r>
    </w:p>
    <w:p>
      <w:pPr>
        <w:spacing w:before="156" w:beforeLines="50" w:after="156" w:afterLines="50" w:line="360" w:lineRule="auto"/>
        <w:jc w:val="center"/>
        <w:rPr>
          <w:rFonts w:ascii="宋体" w:hAnsi="宋体" w:eastAsia="宋体" w:cs="宋体"/>
          <w:b/>
          <w:color w:val="000000"/>
          <w:sz w:val="24"/>
        </w:rPr>
      </w:pPr>
      <w:r>
        <w:rPr>
          <w:rFonts w:hint="eastAsia" w:ascii="宋体" w:hAnsi="宋体" w:eastAsia="宋体" w:cs="宋体"/>
          <w:b/>
          <w:color w:val="000000"/>
          <w:sz w:val="24"/>
        </w:rPr>
        <w:t>第三章 财务资产管理</w:t>
      </w:r>
    </w:p>
    <w:p>
      <w:pPr>
        <w:pStyle w:val="12"/>
        <w:shd w:val="clear" w:color="auto" w:fill="FFFFFF"/>
        <w:spacing w:after="225" w:line="270" w:lineRule="atLeast"/>
        <w:ind w:left="45" w:right="45" w:firstLine="450"/>
        <w:rPr>
          <w:rFonts w:ascii="宋体" w:hAnsi="宋体" w:eastAsia="宋体" w:cs="宋体"/>
          <w:kern w:val="2"/>
        </w:rPr>
      </w:pPr>
      <w:r>
        <w:rPr>
          <w:rFonts w:hint="eastAsia" w:ascii="宋体" w:hAnsi="宋体" w:eastAsia="宋体" w:cs="宋体"/>
          <w:color w:val="000000"/>
        </w:rPr>
        <w:t xml:space="preserve">第十三条 </w:t>
      </w:r>
      <w:r>
        <w:rPr>
          <w:rFonts w:hint="eastAsia" w:ascii="宋体" w:hAnsi="宋体" w:eastAsia="宋体" w:cs="宋体"/>
          <w:kern w:val="2"/>
        </w:rPr>
        <w:t>本委员会经费来源如下：</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(一) 中国科学院的行政拨款和资助;</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(二) 研究、培训、出版等活动的收入;</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(三) 企业和社会的捐助;</w:t>
      </w:r>
    </w:p>
    <w:p>
      <w:pPr>
        <w:widowControl/>
        <w:shd w:val="clear" w:color="auto" w:fill="FFFFFF"/>
        <w:spacing w:after="225" w:line="270" w:lineRule="atLeast"/>
        <w:ind w:left="45" w:right="45" w:firstLine="450"/>
        <w:jc w:val="left"/>
        <w:rPr>
          <w:rFonts w:ascii="宋体" w:hAnsi="宋体" w:eastAsia="宋体" w:cs="宋体"/>
          <w:sz w:val="24"/>
          <w:szCs w:val="24"/>
        </w:rPr>
      </w:pPr>
      <w:r>
        <w:rPr>
          <w:rFonts w:hint="eastAsia" w:ascii="宋体" w:hAnsi="宋体" w:eastAsia="宋体" w:cs="宋体"/>
          <w:sz w:val="24"/>
          <w:szCs w:val="24"/>
        </w:rPr>
        <w:t>(四) 其他合法收入。</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第十四条 本委员会经费必须用于本章程规定的业务范围和事业发展，不得挪作他用。</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第十五条 本委员会建立严格的财务管理制度，保证会计资料合法、真实、准确、完整。每年经费使用情况，须向部际联席会主席报告。</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第十六条 本委员会资产和经费管理执行国家财务管理制度，接受本委员会部际联席会和财务部门监督，并依法接受审计监督。</w:t>
      </w:r>
    </w:p>
    <w:p>
      <w:pPr>
        <w:pStyle w:val="12"/>
        <w:shd w:val="clear" w:color="auto" w:fill="FFFFFF"/>
        <w:spacing w:after="225" w:line="270" w:lineRule="atLeast"/>
        <w:ind w:right="45"/>
        <w:jc w:val="center"/>
        <w:rPr>
          <w:rFonts w:ascii="宋体" w:hAnsi="宋体" w:eastAsia="宋体" w:cs="宋体"/>
          <w:b/>
          <w:color w:val="000000"/>
        </w:rPr>
      </w:pPr>
      <w:r>
        <w:rPr>
          <w:rFonts w:hint="eastAsia" w:ascii="宋体" w:hAnsi="宋体" w:eastAsia="宋体" w:cs="宋体"/>
          <w:b/>
          <w:color w:val="000000"/>
        </w:rPr>
        <w:t>第四章 附则</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第十七条 本章程经本委员会2021年4月15日部际联席会审议通过。</w:t>
      </w:r>
    </w:p>
    <w:p>
      <w:pPr>
        <w:spacing w:before="156" w:beforeLines="50" w:after="156" w:afterLines="5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第十八条 本章程如有与国家法律法规相抵触之处，按国家有关法律法规执行并按程序及时修改。</w:t>
      </w:r>
    </w:p>
    <w:p>
      <w:pPr>
        <w:spacing w:before="156" w:beforeLines="50" w:after="156" w:afterLines="50" w:line="360" w:lineRule="auto"/>
        <w:ind w:firstLine="480" w:firstLineChars="200"/>
        <w:rPr>
          <w:rFonts w:hint="eastAsia" w:ascii="宋体" w:hAnsi="宋体" w:eastAsia="宋体" w:cs="宋体"/>
          <w:kern w:val="0"/>
          <w:sz w:val="32"/>
          <w:szCs w:val="32"/>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000000"/>
          <w:sz w:val="24"/>
        </w:rPr>
        <w:t>第十九条 本章程的解释权属本委员会的部际联席</w:t>
      </w:r>
      <w:r>
        <w:rPr>
          <w:rFonts w:hint="eastAsia" w:ascii="宋体" w:hAnsi="宋体" w:eastAsia="宋体" w:cs="宋体"/>
          <w:color w:val="000000"/>
          <w:sz w:val="24"/>
          <w:lang w:eastAsia="zh-CN"/>
        </w:rPr>
        <w:t>。</w:t>
      </w:r>
      <w:bookmarkStart w:id="2" w:name="_GoBack"/>
      <w:bookmarkEnd w:id="2"/>
    </w:p>
    <w:p>
      <w:pPr>
        <w:spacing w:before="156" w:beforeLines="50" w:after="156" w:afterLines="50" w:line="360" w:lineRule="auto"/>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eastAsia" w:ascii="宋体" w:hAnsi="宋体" w:eastAsia="宋体" w:cs="宋体"/>
          <w:color w:val="000000"/>
          <w:sz w:val="24"/>
          <w:lang w:eastAsia="zh-CN"/>
        </w:rPr>
      </w:pPr>
    </w:p>
    <w:p>
      <w:pPr>
        <w:spacing w:before="156" w:beforeLines="50" w:after="156" w:afterLines="50"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pPr>
    <w:r>
      <w:drawing>
        <wp:inline distT="0" distB="0" distL="0" distR="0">
          <wp:extent cx="1190625" cy="622300"/>
          <wp:effectExtent l="0" t="0" r="9525" b="6350"/>
          <wp:docPr id="5" name="图片 5" descr="C:\Users\liuning\AppData\Local\Temp\16179501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iuning\AppData\Local\Temp\1617950118(1).png"/>
                  <pic:cNvPicPr>
                    <a:picLocks noChangeAspect="1" noChangeArrowheads="1"/>
                  </pic:cNvPicPr>
                </pic:nvPicPr>
                <pic:blipFill>
                  <a:blip r:embed="rId1">
                    <a:extLst>
                      <a:ext uri="{28A0092B-C50C-407E-A947-70E740481C1C}">
                        <a14:useLocalDpi xmlns:a14="http://schemas.microsoft.com/office/drawing/2010/main" val="0"/>
                      </a:ext>
                    </a:extLst>
                  </a:blip>
                  <a:srcRect r="4562"/>
                  <a:stretch>
                    <a:fillRect/>
                  </a:stretch>
                </pic:blipFill>
                <pic:spPr>
                  <a:xfrm>
                    <a:off x="0" y="0"/>
                    <a:ext cx="1247296" cy="6519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drawing>
        <wp:inline distT="0" distB="0" distL="0" distR="0">
          <wp:extent cx="1190625" cy="622300"/>
          <wp:effectExtent l="0" t="0" r="13335" b="2540"/>
          <wp:docPr id="4" name="图片 4" descr="C:\Users\liuning\AppData\Local\Temp\16179501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uning\AppData\Local\Temp\1617950118(1).png"/>
                  <pic:cNvPicPr>
                    <a:picLocks noChangeAspect="1" noChangeArrowheads="1"/>
                  </pic:cNvPicPr>
                </pic:nvPicPr>
                <pic:blipFill>
                  <a:blip r:embed="rId1">
                    <a:extLst>
                      <a:ext uri="{28A0092B-C50C-407E-A947-70E740481C1C}">
                        <a14:useLocalDpi xmlns:a14="http://schemas.microsoft.com/office/drawing/2010/main" val="0"/>
                      </a:ext>
                    </a:extLst>
                  </a:blip>
                  <a:srcRect r="4562"/>
                  <a:stretch>
                    <a:fillRect/>
                  </a:stretch>
                </pic:blipFill>
                <pic:spPr>
                  <a:xfrm>
                    <a:off x="0" y="0"/>
                    <a:ext cx="1247296" cy="651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DF"/>
    <w:rsid w:val="0002440C"/>
    <w:rsid w:val="000D31B1"/>
    <w:rsid w:val="00114AA1"/>
    <w:rsid w:val="0014285A"/>
    <w:rsid w:val="0014362E"/>
    <w:rsid w:val="001444BD"/>
    <w:rsid w:val="00150521"/>
    <w:rsid w:val="00166746"/>
    <w:rsid w:val="001713EE"/>
    <w:rsid w:val="001A0AF3"/>
    <w:rsid w:val="001A2572"/>
    <w:rsid w:val="00206CDF"/>
    <w:rsid w:val="00212C08"/>
    <w:rsid w:val="002339B7"/>
    <w:rsid w:val="002421AB"/>
    <w:rsid w:val="002E7B8E"/>
    <w:rsid w:val="00323165"/>
    <w:rsid w:val="0032739C"/>
    <w:rsid w:val="003403E7"/>
    <w:rsid w:val="0035407B"/>
    <w:rsid w:val="00370AF2"/>
    <w:rsid w:val="003A3C27"/>
    <w:rsid w:val="003D4752"/>
    <w:rsid w:val="003D7462"/>
    <w:rsid w:val="003E3CA7"/>
    <w:rsid w:val="003F2623"/>
    <w:rsid w:val="004025B0"/>
    <w:rsid w:val="004165F1"/>
    <w:rsid w:val="0045745C"/>
    <w:rsid w:val="00490BC6"/>
    <w:rsid w:val="004A0946"/>
    <w:rsid w:val="004D47C3"/>
    <w:rsid w:val="005017EF"/>
    <w:rsid w:val="00506C20"/>
    <w:rsid w:val="00576705"/>
    <w:rsid w:val="005A72EC"/>
    <w:rsid w:val="005C7E1B"/>
    <w:rsid w:val="006554A7"/>
    <w:rsid w:val="007179A7"/>
    <w:rsid w:val="00717E70"/>
    <w:rsid w:val="00720A2C"/>
    <w:rsid w:val="00731299"/>
    <w:rsid w:val="00771DB6"/>
    <w:rsid w:val="007B19B8"/>
    <w:rsid w:val="007B7011"/>
    <w:rsid w:val="007C2550"/>
    <w:rsid w:val="007C64DF"/>
    <w:rsid w:val="007D1EEF"/>
    <w:rsid w:val="007D2CAC"/>
    <w:rsid w:val="007E6430"/>
    <w:rsid w:val="007F2D10"/>
    <w:rsid w:val="00807174"/>
    <w:rsid w:val="00814775"/>
    <w:rsid w:val="00847277"/>
    <w:rsid w:val="00850DAD"/>
    <w:rsid w:val="008D1727"/>
    <w:rsid w:val="008F39C9"/>
    <w:rsid w:val="00904795"/>
    <w:rsid w:val="009414E8"/>
    <w:rsid w:val="00941D42"/>
    <w:rsid w:val="0097680F"/>
    <w:rsid w:val="0098065E"/>
    <w:rsid w:val="009B05C2"/>
    <w:rsid w:val="009B0D6B"/>
    <w:rsid w:val="00A137CD"/>
    <w:rsid w:val="00A62AE4"/>
    <w:rsid w:val="00AC6589"/>
    <w:rsid w:val="00B17F06"/>
    <w:rsid w:val="00B30E25"/>
    <w:rsid w:val="00B44E67"/>
    <w:rsid w:val="00B55C05"/>
    <w:rsid w:val="00B93B77"/>
    <w:rsid w:val="00BF29D4"/>
    <w:rsid w:val="00C232D0"/>
    <w:rsid w:val="00C91667"/>
    <w:rsid w:val="00CF7959"/>
    <w:rsid w:val="00CF7C2B"/>
    <w:rsid w:val="00D843D9"/>
    <w:rsid w:val="00DF442C"/>
    <w:rsid w:val="00E502A8"/>
    <w:rsid w:val="00E656B6"/>
    <w:rsid w:val="00F171B8"/>
    <w:rsid w:val="00F2501D"/>
    <w:rsid w:val="00F604B4"/>
    <w:rsid w:val="00F6347D"/>
    <w:rsid w:val="00F64324"/>
    <w:rsid w:val="00F67FBF"/>
    <w:rsid w:val="00F96B22"/>
    <w:rsid w:val="00FA43A2"/>
    <w:rsid w:val="00FB73D5"/>
    <w:rsid w:val="00FC0D2B"/>
    <w:rsid w:val="00FD6F19"/>
    <w:rsid w:val="00FF5369"/>
    <w:rsid w:val="011F3F81"/>
    <w:rsid w:val="02330063"/>
    <w:rsid w:val="02D47620"/>
    <w:rsid w:val="04D356C4"/>
    <w:rsid w:val="058E674A"/>
    <w:rsid w:val="06050E0B"/>
    <w:rsid w:val="06681AB5"/>
    <w:rsid w:val="069026A0"/>
    <w:rsid w:val="071B76E5"/>
    <w:rsid w:val="0747587D"/>
    <w:rsid w:val="0AC422C9"/>
    <w:rsid w:val="0D4B5B6C"/>
    <w:rsid w:val="0D6A6955"/>
    <w:rsid w:val="0EF64906"/>
    <w:rsid w:val="13E17DCC"/>
    <w:rsid w:val="160B257C"/>
    <w:rsid w:val="166146AC"/>
    <w:rsid w:val="17CF02FF"/>
    <w:rsid w:val="182A0D88"/>
    <w:rsid w:val="1AFC46FC"/>
    <w:rsid w:val="1C637F8B"/>
    <w:rsid w:val="1D711204"/>
    <w:rsid w:val="1D8615F3"/>
    <w:rsid w:val="1F2919F8"/>
    <w:rsid w:val="1F6E2DB3"/>
    <w:rsid w:val="20811551"/>
    <w:rsid w:val="20813CF0"/>
    <w:rsid w:val="22752A17"/>
    <w:rsid w:val="248D6B45"/>
    <w:rsid w:val="27B20D16"/>
    <w:rsid w:val="27C3543E"/>
    <w:rsid w:val="288F3427"/>
    <w:rsid w:val="28B84AF5"/>
    <w:rsid w:val="29A21BA4"/>
    <w:rsid w:val="2B127BBF"/>
    <w:rsid w:val="2DD40CC4"/>
    <w:rsid w:val="2E480349"/>
    <w:rsid w:val="2E9301FF"/>
    <w:rsid w:val="2EA533A9"/>
    <w:rsid w:val="2EF61161"/>
    <w:rsid w:val="2F396714"/>
    <w:rsid w:val="2F3A4798"/>
    <w:rsid w:val="306849F4"/>
    <w:rsid w:val="30C42ABB"/>
    <w:rsid w:val="348E33E4"/>
    <w:rsid w:val="3668418E"/>
    <w:rsid w:val="36B65C3C"/>
    <w:rsid w:val="37165562"/>
    <w:rsid w:val="37F87C70"/>
    <w:rsid w:val="39123917"/>
    <w:rsid w:val="395A2873"/>
    <w:rsid w:val="3BC45C3F"/>
    <w:rsid w:val="3DEA4A33"/>
    <w:rsid w:val="3F3D4881"/>
    <w:rsid w:val="3FD01F04"/>
    <w:rsid w:val="42194C32"/>
    <w:rsid w:val="4298187F"/>
    <w:rsid w:val="4760343D"/>
    <w:rsid w:val="488A1277"/>
    <w:rsid w:val="4E3C3C3B"/>
    <w:rsid w:val="4E634161"/>
    <w:rsid w:val="4E64215E"/>
    <w:rsid w:val="50731CBB"/>
    <w:rsid w:val="51302F7B"/>
    <w:rsid w:val="51532D23"/>
    <w:rsid w:val="54892F7F"/>
    <w:rsid w:val="574376B1"/>
    <w:rsid w:val="57A3721E"/>
    <w:rsid w:val="5827688D"/>
    <w:rsid w:val="5AA93EC1"/>
    <w:rsid w:val="5BD5323E"/>
    <w:rsid w:val="5C0D6614"/>
    <w:rsid w:val="5DB226E2"/>
    <w:rsid w:val="5F2D7BCA"/>
    <w:rsid w:val="5F447A69"/>
    <w:rsid w:val="604B3B43"/>
    <w:rsid w:val="608D243A"/>
    <w:rsid w:val="61F73A6C"/>
    <w:rsid w:val="636B4A0E"/>
    <w:rsid w:val="64B57B02"/>
    <w:rsid w:val="654F3283"/>
    <w:rsid w:val="67600657"/>
    <w:rsid w:val="6761028E"/>
    <w:rsid w:val="679668D5"/>
    <w:rsid w:val="67D261E6"/>
    <w:rsid w:val="69C8646D"/>
    <w:rsid w:val="6B0A48D5"/>
    <w:rsid w:val="6B79037F"/>
    <w:rsid w:val="6D5525EB"/>
    <w:rsid w:val="6E8454EE"/>
    <w:rsid w:val="705E6705"/>
    <w:rsid w:val="70BE2316"/>
    <w:rsid w:val="718F3E8F"/>
    <w:rsid w:val="71EF3C6D"/>
    <w:rsid w:val="72C837D2"/>
    <w:rsid w:val="75455042"/>
    <w:rsid w:val="755F76AC"/>
    <w:rsid w:val="76B93A5D"/>
    <w:rsid w:val="77E55D1A"/>
    <w:rsid w:val="794E2AE8"/>
    <w:rsid w:val="7A4026AC"/>
    <w:rsid w:val="7AFD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widowControl/>
      <w:tabs>
        <w:tab w:val="left" w:pos="416"/>
        <w:tab w:val="right" w:leader="dot" w:pos="8296"/>
      </w:tabs>
      <w:spacing w:after="100" w:line="600" w:lineRule="auto"/>
      <w:ind w:left="220"/>
      <w:jc w:val="left"/>
    </w:pPr>
    <w:rPr>
      <w:kern w:val="0"/>
      <w:sz w:val="22"/>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标题 1 字符"/>
    <w:basedOn w:val="15"/>
    <w:link w:val="2"/>
    <w:qFormat/>
    <w:uiPriority w:val="0"/>
    <w:rPr>
      <w:b/>
      <w:bCs/>
      <w:kern w:val="44"/>
      <w:sz w:val="44"/>
      <w:szCs w:val="44"/>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sz w:val="18"/>
      <w:szCs w:val="18"/>
    </w:rPr>
  </w:style>
  <w:style w:type="character" w:customStyle="1" w:styleId="21">
    <w:name w:val="NormalCharacter"/>
    <w:qFormat/>
    <w:uiPriority w:val="0"/>
  </w:style>
  <w:style w:type="paragraph" w:customStyle="1" w:styleId="22">
    <w:name w:val="指南标题2"/>
    <w:basedOn w:val="3"/>
    <w:qFormat/>
    <w:uiPriority w:val="0"/>
    <w:pPr>
      <w:spacing w:line="240" w:lineRule="auto"/>
    </w:pPr>
    <w:rPr>
      <w:rFonts w:ascii="Calibri Light" w:hAnsi="Calibri Light" w:eastAsia="黑体" w:cs="Times New Roman"/>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4">
    <w:name w:val="指南正文"/>
    <w:basedOn w:val="1"/>
    <w:qFormat/>
    <w:uiPriority w:val="0"/>
    <w:pPr>
      <w:ind w:firstLine="560"/>
    </w:pPr>
    <w:rPr>
      <w:rFonts w:ascii="仿宋" w:hAnsi="仿宋" w:eastAsia="仿宋_GB2312"/>
      <w:sz w:val="32"/>
    </w:rPr>
  </w:style>
  <w:style w:type="paragraph" w:customStyle="1" w:styleId="25">
    <w:name w:val="指南标题"/>
    <w:basedOn w:val="22"/>
    <w:qFormat/>
    <w:uiPriority w:val="0"/>
  </w:style>
  <w:style w:type="paragraph" w:customStyle="1" w:styleId="26">
    <w:name w:val="TOC 标题1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日期 字符"/>
    <w:basedOn w:val="15"/>
    <w:link w:val="6"/>
    <w:semiHidden/>
    <w:qFormat/>
    <w:uiPriority w:val="99"/>
    <w:rPr>
      <w:kern w:val="2"/>
      <w:sz w:val="21"/>
      <w:szCs w:val="22"/>
    </w:rPr>
  </w:style>
  <w:style w:type="paragraph" w:customStyle="1" w:styleId="2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E425B-1127-4FFA-9667-28A92BF9BC4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57</Pages>
  <Words>3585</Words>
  <Characters>20441</Characters>
  <Lines>170</Lines>
  <Paragraphs>47</Paragraphs>
  <TotalTime>12</TotalTime>
  <ScaleCrop>false</ScaleCrop>
  <LinksUpToDate>false</LinksUpToDate>
  <CharactersWithSpaces>23979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2021-04-14T08:52:00Z</dcterms:created>
  <dc:creator>刘宁</dc:creator>
  <cp:lastModifiedBy>乔娜</cp:lastModifiedBy>
  <cp:lastPrinted>2021-04-14T08:53:00Z</cp:lastPrinted>
  <dcterms:modified xsi:type="dcterms:W3CDTF">2021-05-18T05:31:32Z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F3C86D9B2D2042C4B72CDE20B27E3BDA</vt:lpwstr>
  </property>
</Properties>
</file>